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36"/>
          <w:highlight w:val="none"/>
          <w:lang w:eastAsia="zh-CN"/>
        </w:rPr>
        <w:t>附件一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val="en-US" w:eastAsia="zh-CN"/>
        </w:rPr>
        <w:t>安徽</w:t>
      </w: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新华学</w:t>
      </w:r>
      <w:r>
        <w:rPr>
          <w:rFonts w:hint="eastAsia"/>
          <w:b/>
          <w:bCs/>
          <w:color w:val="auto"/>
          <w:sz w:val="28"/>
          <w:szCs w:val="28"/>
          <w:highlight w:val="none"/>
        </w:rPr>
        <w:t>院</w:t>
      </w:r>
      <w:r>
        <w:rPr>
          <w:rFonts w:hint="eastAsia"/>
          <w:b/>
          <w:bCs/>
          <w:color w:val="auto"/>
          <w:sz w:val="28"/>
          <w:szCs w:val="28"/>
          <w:highlight w:val="none"/>
          <w:lang w:eastAsia="zh-CN"/>
        </w:rPr>
        <w:t>公共物理实验中心</w:t>
      </w:r>
      <w:r>
        <w:rPr>
          <w:rFonts w:hint="eastAsia"/>
          <w:b/>
          <w:bCs/>
          <w:color w:val="auto"/>
          <w:sz w:val="28"/>
          <w:szCs w:val="28"/>
          <w:highlight w:val="none"/>
        </w:rPr>
        <w:t>招标参数</w:t>
      </w:r>
    </w:p>
    <w:tbl>
      <w:tblPr>
        <w:tblStyle w:val="7"/>
        <w:tblpPr w:leftFromText="180" w:rightFromText="180" w:vertAnchor="text" w:horzAnchor="page" w:tblpX="1211" w:tblpY="621"/>
        <w:tblOverlap w:val="never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069"/>
        <w:gridCol w:w="6270"/>
        <w:gridCol w:w="708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 w:val="0"/>
                <w:color w:val="auto"/>
                <w:sz w:val="24"/>
                <w:highlight w:val="none"/>
              </w:rPr>
              <w:t>参数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>1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highlight w:val="none"/>
              </w:rPr>
              <w:t>金属线胀系数测定仪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本实验利用光杠杆放大原理装置来测量金属线膨胀系数。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主要技术参数：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★1、尺读望远镜：放大倍数 30倍；   物镜有效孔径42mm； 视场角  1°26′； 最短视距1米；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2、标尺采用LED背光源，刻度范围±15cm ，工作电源：DC3V；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★3、电加热装置：样品采用竖立电加热，温度可控（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-20°C～200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℃）温度显示方式：LED数显，室温-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℃，带语音播报。圆筒式电加热恒温箱，自带散热孔及风扇。样品加热炉内空间温度达到平衡时，温度不均匀性≤0.3℃。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4、提供配套实验说明指导书，视频操作教程。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★5、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5年内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提供每年不少于2次的进校免费维护。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套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>2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highlight w:val="none"/>
              </w:rPr>
              <w:t>密立根油滴仪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主要实验内容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1、验证电荷的不连续性，测定基本电荷的大小；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2、学会对仪器的调整、油滴的选定、跟踪、测量以及数据的处理。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主要技术参数: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1、采用CCD成像系统观察油滴；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2、监视器分度值采用电子分划板；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3、监视器上能显示实验电压、计时时间并能自动进行数据处理。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 xml:space="preserve">★4、平衡电压：0～430V可调，提升电压200～300V可调，电压准确度：±1V； 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 xml:space="preserve">★5、CCD显微镜系统放大倍数：约70倍，CCD分辨率480线，电子格线分度值：0.2mm/格，最低照度F1.2/0.05LUX； 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 xml:space="preserve">6、监视器：12寸液晶显示器，分辨率1280×800； 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7、计时范围：99.99s、计时误差：±0.01s；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8、平行极板间距离（5.00 ± 0.01）mm；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★9、测试按键均采用数字电子开关，提高使用寿命,8健独立操控，且计时开始键与0V键不联动工作，防止油滴启动瞬间的非匀速性带来的实验误差；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10、机身配置二维码识别兼备课件下载、信息采集、数据下载、售后服务线上报修等功能，投标时提供界面截图加盖公章；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11、实验相对误差 ≤3%；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12、能在监视器上自动进行实验数据处理和实验结果显示，仪器内置密立根油滴实验仪软件，未避免版权纠纷，投标时提供相应的计算机软件著作权登记证书扫描件加盖公章；或提供权威软件可在线查询结果截图，如：天眼查企业查询软件等。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13、提供配套实验说明指导书，视频操作教程。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★14、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5年内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提供每年不少于2次的进校免费维护。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套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>3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直流稳压电源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数字型，单通道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电压：0-30V电流：0-5A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台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noWrap w:val="0"/>
            <w:vAlign w:val="center"/>
          </w:tcPr>
          <w:p>
            <w:pPr>
              <w:spacing w:after="0" w:line="240" w:lineRule="auto"/>
              <w:jc w:val="center"/>
              <w:rPr>
                <w:b/>
                <w:bCs/>
                <w:color w:val="auto"/>
                <w:highlight w:val="none"/>
              </w:rPr>
            </w:pPr>
            <w:r>
              <w:rPr>
                <w:b/>
                <w:bCs/>
                <w:color w:val="auto"/>
                <w:highlight w:val="none"/>
              </w:rPr>
              <w:t>4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信号发生器</w:t>
            </w:r>
          </w:p>
        </w:tc>
        <w:tc>
          <w:tcPr>
            <w:tcW w:w="6270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Cp1645/P三波形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频率范围10-60MHz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台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4</w:t>
            </w:r>
          </w:p>
        </w:tc>
      </w:tr>
    </w:tbl>
    <w:p>
      <w:pPr>
        <w:rPr>
          <w:rFonts w:hint="default" w:ascii="Times New Roman" w:hAnsi="Times New Roman" w:eastAsia="宋体" w:cs="Times New Roman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br w:type="page"/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32"/>
          <w:highlight w:val="none"/>
          <w:lang w:val="en-US" w:eastAsia="zh-CN"/>
        </w:rPr>
        <w:t>附件二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</w:rPr>
        <w:t>保证承诺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致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公司与安徽新华学院就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项目合作并签订《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合同》（下称主合同）事宜，为确保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公司全面履行其在主合同中的各项责任与义务，保证人自愿为其向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 xml:space="preserve"> 安徽新华学院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提供不可撤销的连带保证责任担保，并向安徽新华学院郑重承诺：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对其提出任何异议。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auto"/>
          <w:sz w:val="24"/>
          <w:highlight w:val="none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保证人：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0" w:firstLineChars="25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日期：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</w:pPr>
    </w:p>
    <w:p>
      <w:pP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</w:pPr>
    </w:p>
    <w:p>
      <w:pPr>
        <w:rPr>
          <w:rFonts w:hint="default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  <w:r>
        <w:rPr>
          <w:rFonts w:hint="eastAsia"/>
          <w:b/>
          <w:bCs/>
          <w:color w:val="auto"/>
          <w:sz w:val="24"/>
          <w:szCs w:val="32"/>
          <w:highlight w:val="none"/>
          <w:lang w:val="en-US" w:eastAsia="zh-CN"/>
        </w:rPr>
        <w:t>附件三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highlight w:val="none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安徽新华学院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shd w:val="clear" w:color="auto" w:fill="FFFFFF"/>
        </w:rPr>
        <w:t xml:space="preserve">       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  <w:t>附件</w:t>
      </w:r>
      <w:r>
        <w:rPr>
          <w:rFonts w:hint="eastAsia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16"/>
          <w:highlight w:val="none"/>
          <w:lang w:val="en-US" w:eastAsia="zh-CN"/>
        </w:rPr>
        <w:t>-1</w:t>
      </w:r>
    </w:p>
    <w:tbl>
      <w:tblPr>
        <w:tblStyle w:val="6"/>
        <w:tblpPr w:leftFromText="180" w:rightFromText="180" w:vertAnchor="text" w:horzAnchor="page" w:tblpX="87" w:tblpY="857"/>
        <w:tblOverlap w:val="never"/>
        <w:tblW w:w="9740" w:type="dxa"/>
        <w:tblInd w:w="97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2388"/>
        <w:gridCol w:w="992"/>
        <w:gridCol w:w="1143"/>
        <w:gridCol w:w="626"/>
        <w:gridCol w:w="649"/>
        <w:gridCol w:w="1144"/>
        <w:gridCol w:w="1287"/>
        <w:gridCol w:w="9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品牌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型号规格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单位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/元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总价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/元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exac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highlight w:val="none"/>
              </w:rPr>
              <w:t>金属线胀系数测定仪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套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5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技术参数见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32"/>
                <w:highlight w:val="none"/>
                <w:lang w:val="en-US" w:eastAsia="zh-CN"/>
              </w:rPr>
              <w:t>附件四-3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技术标偏离表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exac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highlight w:val="none"/>
              </w:rPr>
              <w:t>密立根油滴仪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套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直流稳压电源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台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18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exac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信号发生器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台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74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合计（元）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2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供货周期</w:t>
            </w:r>
          </w:p>
        </w:tc>
        <w:tc>
          <w:tcPr>
            <w:tcW w:w="21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天</w:t>
            </w:r>
          </w:p>
        </w:tc>
        <w:tc>
          <w:tcPr>
            <w:tcW w:w="241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质保时间</w:t>
            </w:r>
          </w:p>
        </w:tc>
        <w:tc>
          <w:tcPr>
            <w:tcW w:w="2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 xml:space="preserve">  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exact"/>
        </w:trPr>
        <w:tc>
          <w:tcPr>
            <w:tcW w:w="2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报价单位（盖章）</w:t>
            </w:r>
          </w:p>
        </w:tc>
        <w:tc>
          <w:tcPr>
            <w:tcW w:w="679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pStyle w:val="4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商务标用 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所投产品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清单报价表</w:t>
      </w:r>
    </w:p>
    <w:p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32"/>
          <w:highlight w:val="none"/>
          <w:lang w:val="en-US" w:eastAsia="zh-CN"/>
        </w:rPr>
        <w:t>附件四-2：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技术标用 投标设备清单</w:t>
      </w:r>
    </w:p>
    <w:tbl>
      <w:tblPr>
        <w:tblStyle w:val="6"/>
        <w:tblpPr w:leftFromText="180" w:rightFromText="180" w:vertAnchor="text" w:horzAnchor="page" w:tblpX="162" w:tblpY="185"/>
        <w:tblOverlap w:val="never"/>
        <w:tblW w:w="9761" w:type="dxa"/>
        <w:tblInd w:w="8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684"/>
        <w:gridCol w:w="1443"/>
        <w:gridCol w:w="1638"/>
        <w:gridCol w:w="2885"/>
        <w:gridCol w:w="15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仪器设备名称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品牌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型号规格</w:t>
            </w:r>
          </w:p>
        </w:tc>
        <w:tc>
          <w:tcPr>
            <w:tcW w:w="2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</w:rPr>
              <w:t>技术参数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投标参数）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  <w:highlight w:val="none"/>
                <w:lang w:val="en-US" w:eastAsia="zh-CN"/>
              </w:rPr>
              <w:t>投标产品图片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highlight w:val="none"/>
              </w:rPr>
              <w:t>金属线胀系数测定仪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highlight w:val="none"/>
              </w:rPr>
              <w:t>密立根油滴仪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直流稳压电源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信号发生器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both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4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32"/>
          <w:highlight w:val="none"/>
          <w:lang w:val="en-US" w:eastAsia="zh-CN"/>
        </w:rPr>
        <w:t>附件四-3：技术标用  参数偏离表</w:t>
      </w:r>
    </w:p>
    <w:tbl>
      <w:tblPr>
        <w:tblStyle w:val="7"/>
        <w:tblW w:w="11055" w:type="dxa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281"/>
        <w:gridCol w:w="6641"/>
        <w:gridCol w:w="1844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产品</w:t>
            </w: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664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招标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bidi="ar"/>
              </w:rPr>
              <w:t>规格参数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参考）</w:t>
            </w:r>
          </w:p>
        </w:tc>
        <w:tc>
          <w:tcPr>
            <w:tcW w:w="18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color w:val="auto"/>
                <w:sz w:val="22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highlight w:val="none"/>
                <w:lang w:val="en-US" w:eastAsia="zh-CN"/>
              </w:rPr>
              <w:t>投标产品品牌及参数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lang w:val="en-US" w:eastAsia="zh-CN" w:bidi="ar"/>
              </w:rPr>
              <w:t>不要复制招标参数</w:t>
            </w:r>
          </w:p>
        </w:tc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 w:bidi="ar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0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highlight w:val="none"/>
              </w:rPr>
              <w:t>金属线胀系数测定仪</w:t>
            </w:r>
          </w:p>
        </w:tc>
        <w:tc>
          <w:tcPr>
            <w:tcW w:w="6641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本实验利用光杠杆放大原理装置来测量金属线膨胀系数。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主要技术参数：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★1、尺读望远镜：放大倍数 30倍；   物镜有效孔径42mm； 视场角  1°26′； 最短视距1米；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2、标尺采用LED背光源，刻度范围±15cm ，工作电源：DC3V；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★3、电加热装置：样品采用竖立电加热，温度可控（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-20°C～200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℃）温度显示方式：LED数显，室温-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℃，带语音播报。圆筒式电加热恒温箱，自带散热孔及风扇。样品加热炉内空间温度达到平衡时，温度不均匀性≤0.3℃。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4、提供配套实验说明指导书，视频操作教程。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★5、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5年内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提供每年不少于2次的进校免费维护。</w:t>
            </w:r>
          </w:p>
        </w:tc>
        <w:tc>
          <w:tcPr>
            <w:tcW w:w="1844" w:type="dxa"/>
            <w:noWrap w:val="0"/>
            <w:vAlign w:val="top"/>
          </w:tcPr>
          <w:p>
            <w:pPr>
              <w:pStyle w:val="4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pStyle w:val="4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0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b w:val="0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highlight w:val="none"/>
              </w:rPr>
              <w:t>密立根油滴仪</w:t>
            </w:r>
          </w:p>
        </w:tc>
        <w:tc>
          <w:tcPr>
            <w:tcW w:w="6641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主要实验内容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1、验证电荷的不连续性，测定基本电荷的大小；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2、学会对仪器的调整、油滴的选定、跟踪、测量以及数据的处理。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主要技术参数: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1、采用CCD成像系统观察油滴；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2、监视器分度值采用电子分划板；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3、监视器上能显示实验电压、计时时间并能自动进行数据处理。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 xml:space="preserve">★4、平衡电压：0～430V可调，提升电压200～300V可调，电压准确度：±1V； 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 xml:space="preserve">★5、CCD显微镜系统放大倍数：约70倍，CCD分辨率480线，电子格线分度值：0.2mm/格，最低照度F1.2/0.05LUX； 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 xml:space="preserve">6、监视器：12寸液晶显示器，分辨率1280×800； 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7、计时范围：99.99s、计时误差：±0.01s；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8、平行极板间距离（5.00 ± 0.01）mm；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★9、测试按键均采用数字电子开关，提高使用寿命,8健独立操控，且计时开始键与0V键不联动工作，防止油滴启动瞬间的非匀速性带来的实验误差；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10、机身配置二维码识别兼备课件下载、信息采集、数据下载、售后服务线上报修等功能，投标时提供界面截图加盖公章；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11、实验相对误差 ≤3%；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12、能在监视器上自动进行实验数据处理和实验结果显示，仪器内置密立根油滴实验仪软件，未避免版权纠纷，投标时提供相应的计算机软件著作权登记证书扫描件加盖公章；或提供权威软件可在线查询结果截图，如：天眼查企业查询软件等。；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13、提供配套实验说明指导书，视频操作教程。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★14、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5年内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提供每年不少于2次的进校免费维护。</w:t>
            </w:r>
          </w:p>
        </w:tc>
        <w:tc>
          <w:tcPr>
            <w:tcW w:w="1844" w:type="dxa"/>
            <w:noWrap w:val="0"/>
            <w:vAlign w:val="top"/>
          </w:tcPr>
          <w:p>
            <w:pPr>
              <w:pStyle w:val="4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pStyle w:val="4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60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直流稳压电源</w:t>
            </w:r>
          </w:p>
        </w:tc>
        <w:tc>
          <w:tcPr>
            <w:tcW w:w="6641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数字型，单通道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电压：0-30V电流：0-5A</w:t>
            </w:r>
          </w:p>
        </w:tc>
        <w:tc>
          <w:tcPr>
            <w:tcW w:w="1844" w:type="dxa"/>
            <w:noWrap w:val="0"/>
            <w:vAlign w:val="top"/>
          </w:tcPr>
          <w:p>
            <w:pPr>
              <w:pStyle w:val="4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pStyle w:val="4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0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>信号发生器</w:t>
            </w:r>
          </w:p>
        </w:tc>
        <w:tc>
          <w:tcPr>
            <w:tcW w:w="6641" w:type="dxa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Cp1645/P三波形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频率范围10-60MHz</w:t>
            </w:r>
          </w:p>
        </w:tc>
        <w:tc>
          <w:tcPr>
            <w:tcW w:w="1844" w:type="dxa"/>
            <w:noWrap w:val="0"/>
            <w:vAlign w:val="top"/>
          </w:tcPr>
          <w:p>
            <w:pPr>
              <w:pStyle w:val="4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3" w:type="dxa"/>
            <w:noWrap w:val="0"/>
            <w:vAlign w:val="top"/>
          </w:tcPr>
          <w:p>
            <w:pPr>
              <w:pStyle w:val="4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rPr>
          <w:rFonts w:hint="eastAsia"/>
          <w:color w:val="auto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CDCFB8"/>
    <w:multiLevelType w:val="singleLevel"/>
    <w:tmpl w:val="C0CDCFB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7E144C14"/>
    <w:rsid w:val="7E14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paragraph" w:styleId="3">
    <w:name w:val="Body Text Indent"/>
    <w:basedOn w:val="1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Body Text First Indent"/>
    <w:basedOn w:val="2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 First Indent 2"/>
    <w:basedOn w:val="3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2023-07-24T08:17:00Z</dcterms:created>
  <dc:creator>千里草1403852088</dc:creator>
  <cp:lastModifiedBy>千里草1403852088</cp:lastModifiedBy>
  <dcterms:modified xsi:type="dcterms:W3CDTF">2023-07-24T08:18:04Z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30684652747F4194A902A6877EF9B9B2_11</vt:lpwstr>
  </property>
</Properties>
</file>